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6A" w:rsidRPr="00EA026A" w:rsidRDefault="00EA026A" w:rsidP="00EA026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:rsidR="00EA026A" w:rsidRPr="00EA026A" w:rsidRDefault="00EA026A" w:rsidP="00EA026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bookmarkStart w:id="0" w:name="_Toc536180256"/>
      <w:bookmarkEnd w:id="0"/>
      <w:r w:rsidRPr="00EA026A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Утверждено</w:t>
      </w:r>
    </w:p>
    <w:p w:rsidR="00EA026A" w:rsidRPr="00EA026A" w:rsidRDefault="00D40E3E" w:rsidP="00EA026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н</w:t>
      </w:r>
      <w:r w:rsidR="00EA026A" w:rsidRPr="00EA026A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а заседании </w:t>
      </w:r>
    </w:p>
    <w:p w:rsidR="00EA026A" w:rsidRPr="00EA026A" w:rsidRDefault="00EA026A" w:rsidP="00EA026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EA026A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Комитета образовательных программ</w:t>
      </w:r>
    </w:p>
    <w:p w:rsidR="00EA026A" w:rsidRPr="00EA026A" w:rsidRDefault="00EA026A" w:rsidP="00EA026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EA026A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от </w:t>
      </w:r>
      <w:r w:rsidR="00D40E3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2</w:t>
      </w:r>
      <w:r w:rsidR="0004569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1</w:t>
      </w:r>
      <w:r w:rsidR="00D40E3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мая</w:t>
      </w:r>
      <w:r w:rsidR="00653158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2024</w:t>
      </w:r>
      <w:r w:rsidRPr="00EA026A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, протокол №</w:t>
      </w:r>
      <w:r w:rsidR="0004569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6</w:t>
      </w: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Программа экзамена для поступления в резидентуру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образовательной программе </w:t>
      </w:r>
      <w:r w:rsidRPr="00EA0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EA0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</w:t>
      </w:r>
      <w:r w:rsidRPr="00EA0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01128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«Оториноларингология взрослая, детская»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обучения 3 года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 оториноларингологии </w:t>
      </w: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40E3E" w:rsidRDefault="00D40E3E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40E3E" w:rsidRDefault="00D40E3E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40E3E" w:rsidRDefault="00D40E3E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653158" w:rsidP="00EA0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EA026A" w:rsidRPr="00EA026A" w:rsidSect="005C56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418" w:header="510" w:footer="510" w:gutter="0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Алматы, 2024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экзамена для поступления в резидентуру по образовательной программе </w:t>
      </w:r>
      <w:r w:rsidRPr="00EA0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EA0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</w:t>
      </w:r>
      <w:r w:rsidRPr="00EA0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01128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«Оториноларингология взрослая, детская»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обучения 3 года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обсуждена на заседании</w:t>
      </w:r>
      <w:r w:rsidR="006531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курса оториноларингологии от 10.05.2024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протокол №6</w:t>
      </w:r>
    </w:p>
    <w:p w:rsidR="00EA026A" w:rsidRPr="00EA026A" w:rsidRDefault="00EA026A" w:rsidP="00EA02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Заведующий </w:t>
      </w:r>
      <w:proofErr w:type="gram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курсом  Р.</w:t>
      </w:r>
      <w:proofErr w:type="gram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Есеналиева</w:t>
      </w:r>
      <w:proofErr w:type="spellEnd"/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4569E" w:rsidRDefault="0004569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GoBack"/>
      <w:bookmarkEnd w:id="1"/>
    </w:p>
    <w:p w:rsidR="00EA026A" w:rsidRPr="00EA026A" w:rsidRDefault="00EA026A" w:rsidP="00EA0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Вопросы раздела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EA0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Клиническая</w:t>
      </w:r>
      <w:r w:rsidRPr="00EA0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анатомия и физиология носа и околоносовых пазух, глотки, гортани и уха</w:t>
      </w:r>
      <w:r w:rsidRPr="00EA0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1.</w:t>
      </w:r>
      <w:bookmarkStart w:id="2" w:name="_Hlk100423919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Клиническая анатомия наружного </w:t>
      </w:r>
      <w:bookmarkEnd w:id="2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носа. 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2.Клиническая анатомия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околоносовых пазух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возрастные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анатомо-физиологические особенности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Клиническая анатомия глотки. Строение небной миндалины.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4.Физиология лимфаденоидного глоточного кольца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Клиническая анатомия гортани.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Наружные мышцы гортани. Методы осмотра гортани.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6.Клиническая анатомия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парафарингеального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пространства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и сосудисто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нервного пучка.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7.Анатомическое строение латеральной стенки полости носа.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8.Топография стенок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наружного слухового прохода, клиническое значение.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A02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Клиническая анатомия барабанной полости. Слуховые косточки. 10.Особенности анатомии и физиологии слуховой трубы и барабанной полости у новорожденных и детей младшего возраста.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11.Сосцевидный отросток. Типы строения сосцевидного отростка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 значение в развитии мастоидита.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12.Клиническая анатомия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внутреннего уха (лабиринта).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Отделы костного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лабиринта.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Звукопроводящий</w:t>
      </w:r>
      <w:r w:rsidR="009A7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аппарат</w:t>
      </w:r>
      <w:r w:rsidR="009A7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З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вуковоспринимающий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аппарат</w:t>
      </w:r>
      <w:r w:rsidR="009A7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15.Анатомо-топографические особенности решетчатого лабиринта.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16.Эндоскопическая картина носоглотки.</w:t>
      </w:r>
      <w:r w:rsidRPr="00EA02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Механизм аэрации среднего уха и причины ее нарушения.</w:t>
      </w:r>
      <w:r w:rsidRPr="00EA0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17. Клиническая анатомия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перепончатого лабиринта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Клиническая анатомия полости носа. 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19.Клиническая физиология носа и околоносовых пазух.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20.Топография венозных синусов твердой мозговой оболочки и их связи.</w:t>
      </w:r>
    </w:p>
    <w:p w:rsidR="009A7CB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</w:t>
      </w:r>
      <w:bookmarkStart w:id="3" w:name="_Hlk100423968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Клиническая анатомия наружного</w:t>
      </w:r>
      <w:bookmarkEnd w:id="3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уха</w:t>
      </w:r>
      <w:r w:rsidR="009A7CB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Клиническая анатомия среднего уха.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23.Кровоснабжение полости носа. Особенности венозного оттока из полости носа.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Клиническая анатомия носовой перегородки. </w:t>
      </w:r>
    </w:p>
    <w:p w:rsidR="00EA026A" w:rsidRDefault="00EA026A" w:rsidP="00EA02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25.Кровоснабжение глотки. </w:t>
      </w:r>
      <w:r w:rsidR="002376E9"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Кровоснабжение</w:t>
      </w:r>
      <w:r w:rsidR="002376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небных миндалин.</w:t>
      </w:r>
    </w:p>
    <w:p w:rsidR="002376E9" w:rsidRPr="00EA026A" w:rsidRDefault="002376E9" w:rsidP="00EA02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A026A" w:rsidRPr="00EA026A" w:rsidRDefault="00EA026A" w:rsidP="00EA02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Вопросы раздела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EA0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Заболевания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носа и околоносовых пазух, глотки, гортани и уха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Риносинуситы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Этиология, патогенез, клиника, лечение.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Фурункул носа. Этиология, патогенез, клиника, осложнения,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Одонтогенный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гайморит. Этиология, патогенез, клиника, лечение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Функциональная эндоскопическая хирургия носа и околоносовых пазух. Показания к эндоскопической операции на околоносовых пазухах. Отличие от радикальной (без эндоскопа) хирургии.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 Носовое кровотечение. Общие и местные причины. Методы остановки носового кровотечения.</w:t>
      </w:r>
      <w:r w:rsidRPr="00EA02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Селективная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эмболизация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сосудов.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Орбитальные осложнения синуситов. Клиника, диагностика,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7.Риногенный сепсис. Тромбоз пещеристого синуса. Этиология, патогенез, клиника,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Травмы носа.</w:t>
      </w:r>
      <w:r w:rsidRPr="00EA0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Показания и методика репозиции отломков при переломе костей носа.</w:t>
      </w:r>
      <w:r w:rsidRPr="00EA02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Назальная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ликворея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Этиология и возможности хирургического лечения.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Вазомоторный ринит. Аллергический ринит. Медикаментозный ринит. Дифференциальная диагностика.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10.Первичные ангины. Определение ангины. Местные и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метатонзиллярные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осложнения. Диагностика, лечение.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Вторичные (симптоматические) ангины. Диагностика. Особенности течения.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12.Хронический тонзиллит, классификация, местные признаки. Консервативное и хирургическое лечение, показания.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 Паратонзиллит.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Паратонзиллярный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абсцесс.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Э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тиология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патогенез, клиника, осложнения, лечебная тактика.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Хронический гнойный средний отит. Этиология, патогенез, классификация, клиника, осложнения,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15.Отогенный менингит. Этиология, патогенез, клиника (общие и менингеальные (оболочечные) симптомы), диагностика, дифференциальный диагноз,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16. Экссудативный средний отит. Этиология, патогенез, клиника, осложнения, лечение. Показания к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парацентезу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шунтированию.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17. Острый стеноз гортани. Этиология, клиника, стадии, диагностика, лечебная тактика. Медикаментозное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дестенозирование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A02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Коникотомия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Трахеостомия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Осложнения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трахеостомии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18.Двигательные расстройства гортани. Причины парезов и параличей возвратного гортанного нерва. Клиника, диагностика, лечение.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 Лабиринтит. Этиология, клиника, диагностика, осложнения, лечение.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Кохлеарная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имплантация. Показания, принцип работы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кохлеарного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импланта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Клиническая характеристика отосклероза. Основ</w:t>
      </w:r>
      <w:r w:rsidR="00320D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 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снижения слуха. Показания к слухулучшающей операции.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22.Тромбоз сигмовидного синуса.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Отогенный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сепсис. Клиника, диагностика, лечение.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23.Болезнь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Меньера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Этиология, патогенез, клиника</w:t>
      </w:r>
      <w:r w:rsid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лечение.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24.Нейросенсорная тугоухость, причины ее возникновения. Тактика врача при острой потере слуха.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 Доброкачественные новообразования голосовых складок.</w:t>
      </w:r>
    </w:p>
    <w:p w:rsidR="00EA026A" w:rsidRPr="00EA026A" w:rsidRDefault="00EA026A" w:rsidP="00EA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40E3E" w:rsidRPr="00EA026A" w:rsidRDefault="00D40E3E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Рекомендуемая литература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Основная литература:</w:t>
      </w:r>
    </w:p>
    <w:p w:rsidR="00EA026A" w:rsidRPr="00EA026A" w:rsidRDefault="00EA026A" w:rsidP="00EA026A">
      <w:pPr>
        <w:tabs>
          <w:tab w:val="left" w:pos="38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36355428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1.Солдатов И.Б. Руководство по оториноларингологии (учебник). Медицина. - 2015.</w:t>
      </w:r>
    </w:p>
    <w:p w:rsidR="00EA026A" w:rsidRPr="00EA026A" w:rsidRDefault="00EA026A" w:rsidP="00EA026A">
      <w:pPr>
        <w:tabs>
          <w:tab w:val="left" w:pos="38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2.Пальчун В.Т., Магомедов М.М.,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Лучихин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Л.А. Оториноларингология (учебник). Медицина, 2014.</w:t>
      </w:r>
    </w:p>
    <w:p w:rsidR="00EA026A" w:rsidRPr="00EA026A" w:rsidRDefault="00EA026A" w:rsidP="00EA026A">
      <w:pPr>
        <w:tabs>
          <w:tab w:val="left" w:pos="38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Оториноларингология. Национальное руководство / гл. редактор чл.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РАМН В.Т.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Пальчун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Изд-во «ГЭОТАР- Медиа».2016.</w:t>
      </w:r>
    </w:p>
    <w:p w:rsidR="00EA026A" w:rsidRPr="00EA026A" w:rsidRDefault="00EA026A" w:rsidP="00EA026A">
      <w:pPr>
        <w:tabs>
          <w:tab w:val="left" w:pos="38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4.Пискунов Г.З., Пискунов С.З., Руководство по ринологии, ООО изд. «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Литтерра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Вильнюс, 2011, 959с</w:t>
      </w:r>
    </w:p>
    <w:p w:rsidR="00EA026A" w:rsidRPr="00EA026A" w:rsidRDefault="00EA026A" w:rsidP="00EA026A">
      <w:pPr>
        <w:tabs>
          <w:tab w:val="left" w:pos="38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Труфанов, Г. Е. Лучевая диагностика заболеваний околоносовых пазух и полости носа. Санкт-Петербург: ЭЛБИ-СПб, 2015. </w:t>
      </w:r>
    </w:p>
    <w:bookmarkEnd w:id="4"/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Дополнительная литература:</w:t>
      </w:r>
    </w:p>
    <w:p w:rsidR="00EA026A" w:rsidRPr="00EA026A" w:rsidRDefault="00EA026A" w:rsidP="00EA026A">
      <w:pPr>
        <w:tabs>
          <w:tab w:val="left" w:pos="38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36355491"/>
      <w:r w:rsidRPr="00EA02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Горохов А.А. Оториноларингология (учебник). Санкт-Петербург. - 2017.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2.</w:t>
      </w: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Хронический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риносинусит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патогенез, диагностика и принципы. Москва: Практическая медицина, 2014.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3.Пальчун В.Т. Обследование оториноларингологического больного. Москва: </w:t>
      </w:r>
      <w:proofErr w:type="spellStart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Литтерра</w:t>
      </w:r>
      <w:proofErr w:type="spellEnd"/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2014</w:t>
      </w:r>
    </w:p>
    <w:p w:rsidR="00EA026A" w:rsidRPr="00EA026A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0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Клинические протоколы диагностики и лечения заболеваний ЛОР органов.</w:t>
      </w:r>
    </w:p>
    <w:p w:rsidR="00EA026A" w:rsidRPr="00FB5072" w:rsidRDefault="00EA026A" w:rsidP="00EA026A">
      <w:pPr>
        <w:tabs>
          <w:tab w:val="left" w:pos="284"/>
          <w:tab w:val="left" w:pos="1200"/>
          <w:tab w:val="left" w:pos="1800"/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_Hlk136355509"/>
      <w:bookmarkEnd w:id="5"/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Ссылка </w:t>
      </w:r>
      <w:hyperlink r:id="rId12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https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://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www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.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youtube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.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com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watch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?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v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=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FE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0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sot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4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OoAE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&amp;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list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=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PL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8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zCz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_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P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8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ilQgDpi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8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q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_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tEkpmcFpGHsAl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8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y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&amp;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index</w:t>
        </w:r>
      </w:hyperlink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1. </w:t>
      </w:r>
      <w:hyperlink r:id="rId13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kk-KZ" w:eastAsia="ru-RU"/>
            <w14:ligatures w14:val="none"/>
          </w:rPr>
          <w:t>https://en.wikipedia.org/wiki/Human_nose</w:t>
        </w:r>
      </w:hyperlink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(анатомия носа)</w:t>
      </w:r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2. </w:t>
      </w:r>
      <w:hyperlink r:id="rId14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kk-KZ" w:eastAsia="ru-RU"/>
            <w14:ligatures w14:val="none"/>
          </w:rPr>
          <w:t>https://en.wikipedia.org/wiki/Ear</w:t>
        </w:r>
      </w:hyperlink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(анатомия уха)</w:t>
      </w:r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hyperlink r:id="rId15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en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wikipedia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org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Larynx</w:t>
        </w:r>
      </w:hyperlink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(гортань)</w:t>
      </w:r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hyperlink r:id="rId16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coursera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org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lecture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anatomy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403-2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x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pharynx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-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WdCvs</w:t>
        </w:r>
        <w:proofErr w:type="spellEnd"/>
      </w:hyperlink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(глотка)</w:t>
      </w:r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hyperlink r:id="rId17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en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wikipedia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org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Labyrinthitis</w:t>
        </w:r>
        <w:proofErr w:type="spellEnd"/>
      </w:hyperlink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(лабиринтит)</w:t>
      </w:r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</w:t>
      </w:r>
      <w:hyperlink r:id="rId18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en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wikipedia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org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Laryngotracheal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_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stenosis</w:t>
        </w:r>
      </w:hyperlink>
      <w:r w:rsidRPr="00FB50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ларинготрахеальный</w:t>
      </w:r>
      <w:proofErr w:type="spellEnd"/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стеноз)</w:t>
      </w:r>
    </w:p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FB50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</w:t>
      </w:r>
      <w:hyperlink r:id="rId19" w:history="1"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en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wikipedia</w:t>
        </w:r>
        <w:proofErr w:type="spellEnd"/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org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wiki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Hearing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_</w:t>
        </w:r>
        <w:r w:rsidRPr="00FB507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loss</w:t>
        </w:r>
      </w:hyperlink>
    </w:p>
    <w:bookmarkEnd w:id="6"/>
    <w:p w:rsidR="00EA026A" w:rsidRPr="00FB5072" w:rsidRDefault="00EA026A" w:rsidP="00EA02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:rsidR="007962E9" w:rsidRPr="00EA026A" w:rsidRDefault="007962E9">
      <w:pPr>
        <w:rPr>
          <w:lang w:val="kk-KZ"/>
        </w:rPr>
      </w:pPr>
    </w:p>
    <w:sectPr w:rsidR="007962E9" w:rsidRPr="00EA026A" w:rsidSect="00DA17B1">
      <w:headerReference w:type="first" r:id="rId20"/>
      <w:pgSz w:w="11906" w:h="16838"/>
      <w:pgMar w:top="1134" w:right="851" w:bottom="1134" w:left="1701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5E" w:rsidRDefault="0089165E">
      <w:pPr>
        <w:spacing w:after="0" w:line="240" w:lineRule="auto"/>
      </w:pPr>
      <w:r>
        <w:separator/>
      </w:r>
    </w:p>
  </w:endnote>
  <w:endnote w:type="continuationSeparator" w:id="0">
    <w:p w:rsidR="0089165E" w:rsidRDefault="0089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KZ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8" w:rsidRDefault="006531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842"/>
      <w:gridCol w:w="2529"/>
    </w:tblGrid>
    <w:tr w:rsidR="00D40E3E" w:rsidTr="00D40E3E">
      <w:trPr>
        <w:cantSplit/>
        <w:trHeight w:val="563"/>
        <w:jc w:val="center"/>
      </w:trPr>
      <w:tc>
        <w:tcPr>
          <w:tcW w:w="12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E3E" w:rsidRPr="00653158" w:rsidRDefault="00653158" w:rsidP="00D40E3E">
          <w:pPr>
            <w:pStyle w:val="a7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653158">
            <w:rPr>
              <w:rFonts w:ascii="Times New Roman" w:hAnsi="Times New Roman"/>
              <w:sz w:val="20"/>
              <w:szCs w:val="20"/>
              <w:lang w:val="en-US"/>
            </w:rPr>
            <w:t>F</w:t>
          </w:r>
          <w:r w:rsidRPr="00653158">
            <w:rPr>
              <w:rFonts w:ascii="Times New Roman" w:hAnsi="Times New Roman"/>
              <w:sz w:val="20"/>
              <w:szCs w:val="20"/>
            </w:rPr>
            <w:t>-</w:t>
          </w:r>
          <w:r w:rsidRPr="00653158">
            <w:rPr>
              <w:rFonts w:ascii="Times New Roman" w:hAnsi="Times New Roman"/>
              <w:sz w:val="20"/>
              <w:szCs w:val="20"/>
              <w:lang w:val="en-US"/>
            </w:rPr>
            <w:t>PR</w:t>
          </w:r>
          <w:r w:rsidRPr="00653158">
            <w:rPr>
              <w:rFonts w:ascii="Times New Roman" w:hAnsi="Times New Roman"/>
              <w:sz w:val="20"/>
              <w:szCs w:val="20"/>
            </w:rPr>
            <w:t>-03-07-02-01-03</w:t>
          </w:r>
        </w:p>
      </w:tc>
      <w:tc>
        <w:tcPr>
          <w:tcW w:w="2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E3E" w:rsidRPr="00D40E3E" w:rsidRDefault="00D40E3E" w:rsidP="00D40E3E">
          <w:pPr>
            <w:pStyle w:val="a7"/>
            <w:jc w:val="center"/>
            <w:rPr>
              <w:rFonts w:ascii="Times New Roman" w:hAnsi="Times New Roman"/>
              <w:sz w:val="20"/>
              <w:szCs w:val="20"/>
            </w:rPr>
          </w:pPr>
          <w:r w:rsidRPr="00D40E3E">
            <w:rPr>
              <w:rFonts w:ascii="Times New Roman" w:hAnsi="Times New Roman"/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E3E" w:rsidRPr="00D40E3E" w:rsidRDefault="00D40E3E" w:rsidP="00653158">
          <w:pPr>
            <w:pStyle w:val="a7"/>
            <w:jc w:val="center"/>
            <w:rPr>
              <w:rFonts w:ascii="Times New Roman" w:hAnsi="Times New Roman"/>
              <w:sz w:val="20"/>
              <w:szCs w:val="20"/>
              <w:lang w:val="kk-KZ" w:eastAsia="ru-RU"/>
            </w:rPr>
          </w:pPr>
          <w:r w:rsidRPr="00D40E3E">
            <w:rPr>
              <w:rFonts w:ascii="Times New Roman" w:hAnsi="Times New Roman"/>
              <w:sz w:val="20"/>
              <w:szCs w:val="20"/>
              <w:lang w:val="kk-KZ" w:eastAsia="ru-RU"/>
            </w:rPr>
            <w:t>Издание 0</w:t>
          </w:r>
          <w:r w:rsidR="00653158">
            <w:rPr>
              <w:rFonts w:ascii="Times New Roman" w:hAnsi="Times New Roman"/>
              <w:sz w:val="20"/>
              <w:szCs w:val="20"/>
              <w:lang w:val="kk-KZ" w:eastAsia="ru-RU"/>
            </w:rPr>
            <w:t>6</w:t>
          </w:r>
        </w:p>
      </w:tc>
    </w:tr>
  </w:tbl>
  <w:p w:rsidR="00280E3B" w:rsidRDefault="0004569E" w:rsidP="00AE3DC6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3B" w:rsidRPr="00826ABE" w:rsidRDefault="0004569E" w:rsidP="00415A9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5E" w:rsidRDefault="0089165E">
      <w:pPr>
        <w:spacing w:after="0" w:line="240" w:lineRule="auto"/>
      </w:pPr>
      <w:r>
        <w:separator/>
      </w:r>
    </w:p>
  </w:footnote>
  <w:footnote w:type="continuationSeparator" w:id="0">
    <w:p w:rsidR="0089165E" w:rsidRDefault="0089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8" w:rsidRDefault="006531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1"/>
      <w:gridCol w:w="3446"/>
      <w:gridCol w:w="1495"/>
      <w:gridCol w:w="3302"/>
    </w:tblGrid>
    <w:tr w:rsidR="00D40E3E" w:rsidRPr="00820925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40E3E" w:rsidRPr="00820925" w:rsidRDefault="00D40E3E" w:rsidP="007B2108">
          <w:pPr>
            <w:pStyle w:val="3"/>
            <w:suppressAutoHyphens/>
            <w:spacing w:before="0"/>
            <w:jc w:val="center"/>
            <w:rPr>
              <w:b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371475" cy="371475"/>
                <wp:effectExtent l="0" t="0" r="0" b="0"/>
                <wp:docPr id="3" name="Рисунок 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40E3E" w:rsidRPr="00B61C60" w:rsidRDefault="00D40E3E" w:rsidP="00B61C60">
          <w:pPr>
            <w:pStyle w:val="a7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  <w:lang w:val="kk-KZ"/>
            </w:rPr>
            <w:t>«ҚазРесмедуниверситеті» МЕББМ</w:t>
          </w:r>
        </w:p>
        <w:p w:rsidR="00D40E3E" w:rsidRPr="00B61C60" w:rsidRDefault="00D40E3E" w:rsidP="00B61C60">
          <w:pPr>
            <w:pStyle w:val="a7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>НУО «</w:t>
          </w:r>
          <w:proofErr w:type="spellStart"/>
          <w:r w:rsidRPr="00B61C60">
            <w:rPr>
              <w:rFonts w:ascii="Times New Roman" w:hAnsi="Times New Roman"/>
              <w:sz w:val="20"/>
              <w:szCs w:val="20"/>
            </w:rPr>
            <w:t>КазРосмедуниверситет</w:t>
          </w:r>
          <w:proofErr w:type="spellEnd"/>
          <w:r w:rsidRPr="00B61C60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40E3E" w:rsidRPr="00B61C60" w:rsidRDefault="00D40E3E" w:rsidP="00B61C60">
          <w:pPr>
            <w:pStyle w:val="a7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PAGE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04569E">
            <w:rPr>
              <w:rFonts w:ascii="Times New Roman" w:hAnsi="Times New Roman"/>
              <w:bCs/>
              <w:noProof/>
              <w:sz w:val="20"/>
              <w:szCs w:val="20"/>
            </w:rPr>
            <w:t>5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NUMPAGES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04569E">
            <w:rPr>
              <w:rFonts w:ascii="Times New Roman" w:hAnsi="Times New Roman"/>
              <w:bCs/>
              <w:noProof/>
              <w:sz w:val="20"/>
              <w:szCs w:val="20"/>
            </w:rPr>
            <w:t>5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0E3E" w:rsidRPr="00B61C60" w:rsidRDefault="00D40E3E" w:rsidP="00B61C60">
          <w:pPr>
            <w:pStyle w:val="a7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280E3B" w:rsidRPr="000777C0" w:rsidRDefault="0004569E">
    <w:pPr>
      <w:pStyle w:val="a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571"/>
      <w:tblW w:w="97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022"/>
      <w:gridCol w:w="1566"/>
      <w:gridCol w:w="4193"/>
    </w:tblGrid>
    <w:tr w:rsidR="005C561F" w:rsidRPr="00933C34" w:rsidTr="00D40E3E">
      <w:trPr>
        <w:trHeight w:val="139"/>
      </w:trPr>
      <w:tc>
        <w:tcPr>
          <w:tcW w:w="4022" w:type="dxa"/>
          <w:tcBorders>
            <w:top w:val="nil"/>
            <w:left w:val="nil"/>
            <w:bottom w:val="nil"/>
            <w:right w:val="nil"/>
          </w:tcBorders>
        </w:tcPr>
        <w:p w:rsidR="005C561F" w:rsidRPr="003A2AF7" w:rsidRDefault="0004569E" w:rsidP="005C561F">
          <w:pPr>
            <w:rPr>
              <w:szCs w:val="28"/>
            </w:rPr>
          </w:pPr>
        </w:p>
      </w:tc>
      <w:tc>
        <w:tcPr>
          <w:tcW w:w="156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C561F" w:rsidRDefault="00D40E3E" w:rsidP="005C561F">
          <w:pPr>
            <w:jc w:val="center"/>
            <w:rPr>
              <w:szCs w:val="28"/>
            </w:rPr>
          </w:pPr>
          <w:r w:rsidRPr="00F6001E">
            <w:rPr>
              <w:b/>
              <w:noProof/>
              <w:lang w:eastAsia="ru-RU"/>
            </w:rPr>
            <w:drawing>
              <wp:inline distT="0" distB="0" distL="0" distR="0" wp14:anchorId="5952AE43" wp14:editId="53F429C3">
                <wp:extent cx="853440" cy="914400"/>
                <wp:effectExtent l="0" t="0" r="3810" b="0"/>
                <wp:docPr id="1933708317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9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561F" w:rsidRPr="003A2AF7" w:rsidRDefault="0004569E" w:rsidP="005C561F">
          <w:pPr>
            <w:jc w:val="center"/>
            <w:rPr>
              <w:szCs w:val="28"/>
            </w:rPr>
          </w:pPr>
        </w:p>
      </w:tc>
      <w:tc>
        <w:tcPr>
          <w:tcW w:w="4193" w:type="dxa"/>
          <w:tcBorders>
            <w:top w:val="nil"/>
            <w:left w:val="nil"/>
            <w:bottom w:val="nil"/>
            <w:right w:val="nil"/>
          </w:tcBorders>
        </w:tcPr>
        <w:p w:rsidR="005C561F" w:rsidRPr="003A2AF7" w:rsidRDefault="0004569E" w:rsidP="005C561F">
          <w:pPr>
            <w:rPr>
              <w:szCs w:val="28"/>
            </w:rPr>
          </w:pPr>
        </w:p>
      </w:tc>
    </w:tr>
    <w:tr w:rsidR="005C561F" w:rsidRPr="00116683" w:rsidTr="00D40E3E">
      <w:trPr>
        <w:trHeight w:val="587"/>
      </w:trPr>
      <w:tc>
        <w:tcPr>
          <w:tcW w:w="4022" w:type="dxa"/>
          <w:tcBorders>
            <w:top w:val="nil"/>
            <w:left w:val="nil"/>
            <w:bottom w:val="nil"/>
            <w:right w:val="nil"/>
          </w:tcBorders>
        </w:tcPr>
        <w:p w:rsidR="005C561F" w:rsidRPr="003A2AF7" w:rsidRDefault="00D40E3E" w:rsidP="005C561F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ascii="Times New Roman" w:hAnsi="Times New Roman" w:cs="Times New Roman"/>
              <w:b/>
              <w:sz w:val="24"/>
              <w:szCs w:val="24"/>
            </w:rPr>
            <w:t>«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ҚАЗАҚСТАН-РЕСЕЙ МЕДИЦИНАЛЫҚ УНИВЕРСИТЕТІ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 xml:space="preserve"> МЕББМ</w:t>
          </w:r>
        </w:p>
      </w:tc>
      <w:tc>
        <w:tcPr>
          <w:tcW w:w="1566" w:type="dxa"/>
          <w:vMerge/>
          <w:tcBorders>
            <w:top w:val="nil"/>
            <w:left w:val="nil"/>
            <w:bottom w:val="nil"/>
            <w:right w:val="nil"/>
          </w:tcBorders>
        </w:tcPr>
        <w:p w:rsidR="005C561F" w:rsidRPr="003A2AF7" w:rsidRDefault="0004569E" w:rsidP="005C561F"/>
      </w:tc>
      <w:tc>
        <w:tcPr>
          <w:tcW w:w="4193" w:type="dxa"/>
          <w:tcBorders>
            <w:top w:val="nil"/>
            <w:left w:val="nil"/>
            <w:bottom w:val="nil"/>
            <w:right w:val="nil"/>
          </w:tcBorders>
        </w:tcPr>
        <w:p w:rsidR="005C561F" w:rsidRPr="003A2AF7" w:rsidRDefault="00D40E3E" w:rsidP="005C561F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НУО «КАЗАХСТАНСКО</w:t>
          </w:r>
          <w:r w:rsidRPr="003A2AF7">
            <w:rPr>
              <w:rFonts w:ascii="Times New Roman" w:hAnsi="Times New Roman" w:cs="Times New Roman"/>
              <w:sz w:val="24"/>
              <w:szCs w:val="24"/>
              <w:lang w:val="kk-KZ"/>
            </w:rPr>
            <w:t>-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РОССИЙСКИЙ МЕДИЦИНСКИЙ УНИВЕРСИТЕТ»</w:t>
          </w:r>
        </w:p>
      </w:tc>
    </w:tr>
    <w:tr w:rsidR="005C561F" w:rsidRPr="00B20556" w:rsidTr="00D40E3E">
      <w:trPr>
        <w:trHeight w:val="279"/>
      </w:trPr>
      <w:tc>
        <w:tcPr>
          <w:tcW w:w="402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5C561F" w:rsidRPr="003A2AF7" w:rsidRDefault="0004569E" w:rsidP="005C561F">
          <w:pPr>
            <w:pStyle w:val="P19"/>
            <w:jc w:val="center"/>
            <w:rPr>
              <w:szCs w:val="28"/>
              <w:lang w:val="kk-KZ"/>
            </w:rPr>
          </w:pPr>
        </w:p>
      </w:tc>
      <w:tc>
        <w:tcPr>
          <w:tcW w:w="1566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5C561F" w:rsidRPr="003A2AF7" w:rsidRDefault="0004569E" w:rsidP="005C561F">
          <w:pPr>
            <w:rPr>
              <w:sz w:val="16"/>
              <w:szCs w:val="16"/>
              <w:lang w:val="kk-KZ"/>
            </w:rPr>
          </w:pPr>
        </w:p>
      </w:tc>
      <w:tc>
        <w:tcPr>
          <w:tcW w:w="4193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5C561F" w:rsidRPr="003A2AF7" w:rsidRDefault="0004569E" w:rsidP="005C561F">
          <w:pPr>
            <w:pStyle w:val="P19"/>
            <w:jc w:val="center"/>
            <w:rPr>
              <w:szCs w:val="28"/>
              <w:lang w:val="kk-KZ"/>
            </w:rPr>
          </w:pPr>
        </w:p>
      </w:tc>
    </w:tr>
  </w:tbl>
  <w:p w:rsidR="00280E3B" w:rsidRPr="000777C0" w:rsidRDefault="0004569E" w:rsidP="00803946">
    <w:pPr>
      <w:pStyle w:val="a5"/>
      <w:jc w:val="cent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7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70"/>
      <w:gridCol w:w="3469"/>
      <w:gridCol w:w="1503"/>
      <w:gridCol w:w="2802"/>
    </w:tblGrid>
    <w:tr w:rsidR="00700E35" w:rsidRPr="00820925" w:rsidTr="00B5422D">
      <w:trPr>
        <w:cantSplit/>
        <w:trHeight w:val="422"/>
      </w:trPr>
      <w:tc>
        <w:tcPr>
          <w:tcW w:w="92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00E35" w:rsidRPr="00820925" w:rsidRDefault="00D40E3E" w:rsidP="00B5422D">
          <w:pPr>
            <w:pStyle w:val="3"/>
            <w:suppressAutoHyphens/>
            <w:spacing w:before="0"/>
            <w:ind w:left="-111"/>
            <w:jc w:val="center"/>
            <w:rPr>
              <w:b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 wp14:anchorId="4588F02C" wp14:editId="31729C7F">
                <wp:extent cx="373380" cy="373380"/>
                <wp:effectExtent l="0" t="0" r="7620" b="7620"/>
                <wp:docPr id="526520377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00E35" w:rsidRPr="00700E35" w:rsidRDefault="00D40E3E" w:rsidP="005C3A03">
          <w:pPr>
            <w:suppressAutoHyphens/>
            <w:jc w:val="center"/>
            <w:rPr>
              <w:sz w:val="20"/>
              <w:szCs w:val="20"/>
            </w:rPr>
          </w:pPr>
          <w:r w:rsidRPr="00700E35">
            <w:rPr>
              <w:sz w:val="20"/>
              <w:szCs w:val="20"/>
              <w:lang w:val="kk-KZ"/>
            </w:rPr>
            <w:t>«ҚазРесмедуниверситеті» МЕББМ</w:t>
          </w:r>
        </w:p>
        <w:p w:rsidR="00700E35" w:rsidRPr="00700E35" w:rsidRDefault="00D40E3E" w:rsidP="005C3A03">
          <w:pPr>
            <w:suppressAutoHyphens/>
            <w:jc w:val="center"/>
            <w:rPr>
              <w:sz w:val="20"/>
              <w:szCs w:val="20"/>
            </w:rPr>
          </w:pPr>
          <w:r w:rsidRPr="00700E35">
            <w:rPr>
              <w:sz w:val="20"/>
              <w:szCs w:val="20"/>
            </w:rPr>
            <w:t>НУО «</w:t>
          </w:r>
          <w:proofErr w:type="spellStart"/>
          <w:r w:rsidRPr="00700E35">
            <w:rPr>
              <w:sz w:val="20"/>
              <w:szCs w:val="20"/>
            </w:rPr>
            <w:t>КазРосмедуниверситет</w:t>
          </w:r>
          <w:proofErr w:type="spellEnd"/>
          <w:r w:rsidRPr="00700E35">
            <w:rPr>
              <w:sz w:val="20"/>
              <w:szCs w:val="20"/>
            </w:rPr>
            <w:t>»</w:t>
          </w:r>
        </w:p>
      </w:tc>
      <w:tc>
        <w:tcPr>
          <w:tcW w:w="78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00E35" w:rsidRPr="00700E35" w:rsidRDefault="00D40E3E" w:rsidP="005C3A03">
          <w:pPr>
            <w:pStyle w:val="a5"/>
            <w:jc w:val="center"/>
            <w:rPr>
              <w:sz w:val="20"/>
              <w:szCs w:val="20"/>
            </w:rPr>
          </w:pPr>
          <w:r w:rsidRPr="00700E35">
            <w:rPr>
              <w:sz w:val="20"/>
              <w:szCs w:val="20"/>
            </w:rPr>
            <w:t xml:space="preserve">стр. </w:t>
          </w:r>
          <w:r w:rsidRPr="00700E35">
            <w:rPr>
              <w:bCs/>
              <w:sz w:val="20"/>
              <w:szCs w:val="20"/>
            </w:rPr>
            <w:fldChar w:fldCharType="begin"/>
          </w:r>
          <w:r w:rsidRPr="00700E35">
            <w:rPr>
              <w:bCs/>
              <w:sz w:val="20"/>
              <w:szCs w:val="20"/>
            </w:rPr>
            <w:instrText>PAGE</w:instrText>
          </w:r>
          <w:r w:rsidRPr="00700E35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</w:t>
          </w:r>
          <w:r w:rsidRPr="00700E35">
            <w:rPr>
              <w:bCs/>
              <w:sz w:val="20"/>
              <w:szCs w:val="20"/>
            </w:rPr>
            <w:fldChar w:fldCharType="end"/>
          </w:r>
          <w:r w:rsidRPr="00700E35">
            <w:rPr>
              <w:sz w:val="20"/>
              <w:szCs w:val="20"/>
            </w:rPr>
            <w:t xml:space="preserve"> / </w:t>
          </w:r>
          <w:r w:rsidRPr="00700E35">
            <w:rPr>
              <w:bCs/>
              <w:sz w:val="20"/>
              <w:szCs w:val="20"/>
            </w:rPr>
            <w:fldChar w:fldCharType="begin"/>
          </w:r>
          <w:r w:rsidRPr="00700E35">
            <w:rPr>
              <w:bCs/>
              <w:sz w:val="20"/>
              <w:szCs w:val="20"/>
            </w:rPr>
            <w:instrText>NUMPAGES</w:instrText>
          </w:r>
          <w:r w:rsidRPr="00700E35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3</w:t>
          </w:r>
          <w:r w:rsidRPr="00700E35">
            <w:rPr>
              <w:bCs/>
              <w:sz w:val="20"/>
              <w:szCs w:val="20"/>
            </w:rPr>
            <w:fldChar w:fldCharType="end"/>
          </w:r>
          <w:r w:rsidRPr="00700E35">
            <w:rPr>
              <w:bCs/>
              <w:sz w:val="20"/>
              <w:szCs w:val="20"/>
            </w:rPr>
            <w:t xml:space="preserve"> бет</w:t>
          </w:r>
        </w:p>
      </w:tc>
      <w:tc>
        <w:tcPr>
          <w:tcW w:w="14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0E35" w:rsidRPr="00820925" w:rsidRDefault="0004569E" w:rsidP="005C3A03">
          <w:pPr>
            <w:suppressAutoHyphens/>
            <w:jc w:val="center"/>
            <w:rPr>
              <w:color w:val="000000"/>
            </w:rPr>
          </w:pPr>
        </w:p>
      </w:tc>
    </w:tr>
  </w:tbl>
  <w:p w:rsidR="00700E35" w:rsidRPr="000777C0" w:rsidRDefault="0004569E" w:rsidP="00803946">
    <w:pPr>
      <w:pStyle w:val="a5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6A"/>
    <w:rsid w:val="0004569E"/>
    <w:rsid w:val="002376E9"/>
    <w:rsid w:val="00311190"/>
    <w:rsid w:val="00320DFF"/>
    <w:rsid w:val="003D76C6"/>
    <w:rsid w:val="003E0B25"/>
    <w:rsid w:val="00653158"/>
    <w:rsid w:val="007962E9"/>
    <w:rsid w:val="0089165E"/>
    <w:rsid w:val="009A7CB2"/>
    <w:rsid w:val="00D40E3E"/>
    <w:rsid w:val="00EA026A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29B48"/>
  <w15:chartTrackingRefBased/>
  <w15:docId w15:val="{BAB80B0C-42A7-4670-9F2A-2E64E860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A0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2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A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A026A"/>
  </w:style>
  <w:style w:type="paragraph" w:styleId="a5">
    <w:name w:val="header"/>
    <w:basedOn w:val="a"/>
    <w:link w:val="a6"/>
    <w:uiPriority w:val="99"/>
    <w:unhideWhenUsed/>
    <w:rsid w:val="00EA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26A"/>
  </w:style>
  <w:style w:type="paragraph" w:customStyle="1" w:styleId="P19">
    <w:name w:val="P19"/>
    <w:basedOn w:val="a"/>
    <w:rsid w:val="00EA0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kern w:val="0"/>
      <w:sz w:val="28"/>
      <w:szCs w:val="20"/>
      <w:lang w:eastAsia="ko-KR"/>
      <w14:ligatures w14:val="none"/>
    </w:rPr>
  </w:style>
  <w:style w:type="paragraph" w:styleId="a7">
    <w:name w:val="No Spacing"/>
    <w:aliases w:val="АЛЬБОМНАЯ,Без интервала1,No Spacing,мелкий,Обя,мой рабочий,норма,Айгерим"/>
    <w:link w:val="a8"/>
    <w:uiPriority w:val="1"/>
    <w:qFormat/>
    <w:rsid w:val="00D40E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7"/>
    <w:uiPriority w:val="1"/>
    <w:rsid w:val="00D40E3E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n.wikipedia.org/wiki/Human_nose" TargetMode="External"/><Relationship Id="rId18" Type="http://schemas.openxmlformats.org/officeDocument/2006/relationships/hyperlink" Target="https://en.wikipedia.org/wiki/Laryngotracheal_stenosi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yperlink" Target="https://www.youtube.com/watch?v=FE0sot4OoAE&amp;list=PL8zCz_P8ilQgDpi8q_tEkpmcFpGHsAl8y&amp;index" TargetMode="External"/><Relationship Id="rId17" Type="http://schemas.openxmlformats.org/officeDocument/2006/relationships/hyperlink" Target="https://en.wikipedia.org/wiki/Labyrinthit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rsera.org/lecture/anatomy403-2x/pharynx-WdCvs" TargetMode="Externa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Larynx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en.wikipedia.org/wiki/Hearing_los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en.wikipedia.org/wiki/Ea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Райза Есеналиева</dc:creator>
  <cp:keywords/>
  <dc:description/>
  <cp:lastModifiedBy>Пользователь</cp:lastModifiedBy>
  <cp:revision>7</cp:revision>
  <dcterms:created xsi:type="dcterms:W3CDTF">2023-05-30T10:42:00Z</dcterms:created>
  <dcterms:modified xsi:type="dcterms:W3CDTF">2024-07-23T03:33:00Z</dcterms:modified>
</cp:coreProperties>
</file>